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6F" w:rsidRDefault="00E00065" w:rsidP="0045666F">
      <w:pPr>
        <w:jc w:val="center"/>
        <w:rPr>
          <w:b/>
          <w:lang w:val="es-ES_tradnl"/>
        </w:rPr>
      </w:pPr>
      <w:r>
        <w:rPr>
          <w:b/>
          <w:noProof/>
          <w:lang w:val="es-CR" w:eastAsia="es-CR"/>
        </w:rPr>
        <w:drawing>
          <wp:anchor distT="0" distB="0" distL="114300" distR="114300" simplePos="0" relativeHeight="251660288" behindDoc="1" locked="0" layoutInCell="1" allowOverlap="1" wp14:anchorId="7F32043A" wp14:editId="3CD91C48">
            <wp:simplePos x="0" y="0"/>
            <wp:positionH relativeFrom="margin">
              <wp:align>center</wp:align>
            </wp:positionH>
            <wp:positionV relativeFrom="paragraph">
              <wp:posOffset>-137795</wp:posOffset>
            </wp:positionV>
            <wp:extent cx="840833" cy="812165"/>
            <wp:effectExtent l="0" t="0" r="0" b="6985"/>
            <wp:wrapNone/>
            <wp:docPr id="2" name="1 Imagen" descr="Nicoya.cant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coya.canton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0833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66F" w:rsidRDefault="0045666F" w:rsidP="0045666F">
      <w:pPr>
        <w:jc w:val="center"/>
        <w:rPr>
          <w:b/>
          <w:lang w:val="es-ES_tradnl"/>
        </w:rPr>
      </w:pPr>
    </w:p>
    <w:p w:rsidR="0045666F" w:rsidRDefault="0045666F" w:rsidP="00880A7C">
      <w:pPr>
        <w:spacing w:after="0" w:line="240" w:lineRule="auto"/>
        <w:jc w:val="center"/>
        <w:rPr>
          <w:b/>
          <w:lang w:val="es-ES_tradnl"/>
        </w:rPr>
      </w:pPr>
    </w:p>
    <w:p w:rsidR="00880A7C" w:rsidRDefault="00473894" w:rsidP="00880A7C">
      <w:pPr>
        <w:spacing w:after="0" w:line="240" w:lineRule="auto"/>
        <w:jc w:val="center"/>
        <w:rPr>
          <w:b/>
          <w:lang w:val="es-ES_tradnl"/>
        </w:rPr>
      </w:pPr>
      <w:r w:rsidRPr="00F86B03">
        <w:rPr>
          <w:b/>
          <w:lang w:val="es-ES_tradnl"/>
        </w:rPr>
        <w:t>Municipalidad de</w:t>
      </w:r>
      <w:r w:rsidR="00753594" w:rsidRPr="00F86B03">
        <w:rPr>
          <w:b/>
          <w:lang w:val="es-ES_tradnl"/>
        </w:rPr>
        <w:t xml:space="preserve"> </w:t>
      </w:r>
      <w:r w:rsidR="00F86B03" w:rsidRPr="00F86B03">
        <w:rPr>
          <w:b/>
          <w:lang w:val="es-ES_tradnl"/>
        </w:rPr>
        <w:t>Municipalidad</w:t>
      </w:r>
      <w:r w:rsidR="00880A7C">
        <w:rPr>
          <w:b/>
          <w:lang w:val="es-ES_tradnl"/>
        </w:rPr>
        <w:t xml:space="preserve"> </w:t>
      </w:r>
    </w:p>
    <w:p w:rsidR="00387CBD" w:rsidRPr="00473894" w:rsidRDefault="00880A7C" w:rsidP="00880A7C">
      <w:pPr>
        <w:spacing w:after="0" w:line="240" w:lineRule="auto"/>
        <w:jc w:val="center"/>
        <w:rPr>
          <w:b/>
          <w:lang w:val="es-CR"/>
        </w:rPr>
      </w:pPr>
      <w:r>
        <w:rPr>
          <w:b/>
          <w:lang w:val="es-ES_tradnl"/>
        </w:rPr>
        <w:t>Moción No.1</w:t>
      </w:r>
    </w:p>
    <w:p w:rsidR="00753594" w:rsidRPr="0045666F" w:rsidRDefault="0045666F" w:rsidP="00880A7C">
      <w:pPr>
        <w:spacing w:after="0" w:line="240" w:lineRule="auto"/>
        <w:rPr>
          <w:b/>
          <w:lang w:val="es-ES_tradnl"/>
        </w:rPr>
      </w:pPr>
      <w:r w:rsidRPr="0045666F">
        <w:rPr>
          <w:b/>
          <w:lang w:val="es-ES_tradnl"/>
        </w:rPr>
        <w:t xml:space="preserve">Avalada </w:t>
      </w:r>
      <w:r w:rsidR="00753594" w:rsidRPr="0045666F">
        <w:rPr>
          <w:b/>
          <w:lang w:val="es-ES_tradnl"/>
        </w:rPr>
        <w:t>por</w:t>
      </w:r>
      <w:r w:rsidR="00FC34B6">
        <w:rPr>
          <w:b/>
          <w:lang w:val="es-ES_tradnl"/>
        </w:rPr>
        <w:t>:</w:t>
      </w:r>
      <w:r w:rsidR="00753594" w:rsidRPr="0045666F">
        <w:rPr>
          <w:b/>
          <w:lang w:val="es-ES_tradnl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6"/>
        <w:gridCol w:w="4248"/>
      </w:tblGrid>
      <w:tr w:rsidR="00753594" w:rsidTr="00E00065">
        <w:tc>
          <w:tcPr>
            <w:tcW w:w="4246" w:type="dxa"/>
          </w:tcPr>
          <w:p w:rsidR="00753594" w:rsidRDefault="00753594" w:rsidP="00E00065">
            <w:pPr>
              <w:spacing w:line="60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  <w:r w:rsidR="00F7300C">
              <w:rPr>
                <w:lang w:val="es-ES_tradnl"/>
              </w:rPr>
              <w:t>.</w:t>
            </w:r>
          </w:p>
        </w:tc>
        <w:tc>
          <w:tcPr>
            <w:tcW w:w="4248" w:type="dxa"/>
          </w:tcPr>
          <w:p w:rsidR="00753594" w:rsidRDefault="00E00065" w:rsidP="00E00065">
            <w:pPr>
              <w:spacing w:line="600" w:lineRule="auto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  <w:r w:rsidR="00F7300C">
              <w:rPr>
                <w:lang w:val="es-ES_tradnl"/>
              </w:rPr>
              <w:t>.</w:t>
            </w:r>
          </w:p>
        </w:tc>
      </w:tr>
      <w:tr w:rsidR="00753594" w:rsidTr="00E00065">
        <w:tc>
          <w:tcPr>
            <w:tcW w:w="4246" w:type="dxa"/>
          </w:tcPr>
          <w:p w:rsidR="00753594" w:rsidRDefault="00753594" w:rsidP="00E00065">
            <w:pPr>
              <w:spacing w:line="600" w:lineRule="auto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  <w:r w:rsidR="00F7300C">
              <w:rPr>
                <w:lang w:val="es-ES_tradnl"/>
              </w:rPr>
              <w:t>.</w:t>
            </w:r>
          </w:p>
        </w:tc>
        <w:tc>
          <w:tcPr>
            <w:tcW w:w="4248" w:type="dxa"/>
          </w:tcPr>
          <w:p w:rsidR="00753594" w:rsidRDefault="00E00065" w:rsidP="00E00065">
            <w:pPr>
              <w:spacing w:line="600" w:lineRule="auto"/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  <w:r w:rsidR="00F7300C">
              <w:rPr>
                <w:lang w:val="es-ES_tradnl"/>
              </w:rPr>
              <w:t>.</w:t>
            </w:r>
          </w:p>
        </w:tc>
      </w:tr>
      <w:tr w:rsidR="00753594" w:rsidTr="00E00065">
        <w:tc>
          <w:tcPr>
            <w:tcW w:w="4246" w:type="dxa"/>
          </w:tcPr>
          <w:p w:rsidR="00753594" w:rsidRDefault="00753594" w:rsidP="00E00065">
            <w:pPr>
              <w:spacing w:line="600" w:lineRule="auto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  <w:r w:rsidR="00F7300C">
              <w:rPr>
                <w:lang w:val="es-ES_tradnl"/>
              </w:rPr>
              <w:t>.</w:t>
            </w:r>
          </w:p>
        </w:tc>
        <w:tc>
          <w:tcPr>
            <w:tcW w:w="4248" w:type="dxa"/>
          </w:tcPr>
          <w:p w:rsidR="00753594" w:rsidRDefault="00E00065" w:rsidP="00E00065">
            <w:pPr>
              <w:spacing w:line="600" w:lineRule="auto"/>
              <w:rPr>
                <w:lang w:val="es-ES_tradnl"/>
              </w:rPr>
            </w:pPr>
            <w:r>
              <w:rPr>
                <w:lang w:val="es-ES_tradnl"/>
              </w:rPr>
              <w:t>7</w:t>
            </w:r>
            <w:r w:rsidR="00F7300C">
              <w:rPr>
                <w:lang w:val="es-ES_tradnl"/>
              </w:rPr>
              <w:t>.</w:t>
            </w:r>
          </w:p>
        </w:tc>
      </w:tr>
      <w:tr w:rsidR="00FC34B6" w:rsidTr="00E00065">
        <w:tc>
          <w:tcPr>
            <w:tcW w:w="4246" w:type="dxa"/>
          </w:tcPr>
          <w:p w:rsidR="00FC34B6" w:rsidRDefault="00FC34B6" w:rsidP="00E00065">
            <w:pPr>
              <w:spacing w:line="600" w:lineRule="auto"/>
              <w:rPr>
                <w:lang w:val="es-ES_tradnl"/>
              </w:rPr>
            </w:pPr>
            <w:r>
              <w:rPr>
                <w:lang w:val="es-ES_tradnl"/>
              </w:rPr>
              <w:t>4.</w:t>
            </w:r>
          </w:p>
        </w:tc>
        <w:tc>
          <w:tcPr>
            <w:tcW w:w="4248" w:type="dxa"/>
          </w:tcPr>
          <w:p w:rsidR="00FC34B6" w:rsidRDefault="00FC34B6" w:rsidP="00E00065">
            <w:pPr>
              <w:spacing w:line="600" w:lineRule="auto"/>
              <w:rPr>
                <w:lang w:val="es-ES_tradnl"/>
              </w:rPr>
            </w:pPr>
          </w:p>
        </w:tc>
      </w:tr>
    </w:tbl>
    <w:p w:rsidR="00753594" w:rsidRDefault="00753594" w:rsidP="00880A7C">
      <w:pPr>
        <w:spacing w:after="0" w:line="240" w:lineRule="auto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FC34B6" w:rsidTr="00880A7C">
        <w:tc>
          <w:tcPr>
            <w:tcW w:w="2122" w:type="dxa"/>
          </w:tcPr>
          <w:p w:rsidR="00FC34B6" w:rsidRPr="00753594" w:rsidRDefault="00FC34B6" w:rsidP="00FC34B6">
            <w:pPr>
              <w:spacing w:line="360" w:lineRule="auto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Suscribe</w:t>
            </w:r>
          </w:p>
        </w:tc>
        <w:tc>
          <w:tcPr>
            <w:tcW w:w="6372" w:type="dxa"/>
          </w:tcPr>
          <w:p w:rsidR="00FC34B6" w:rsidRPr="00753594" w:rsidRDefault="00FC34B6" w:rsidP="00FC34B6">
            <w:pPr>
              <w:spacing w:line="360" w:lineRule="auto"/>
              <w:rPr>
                <w:b/>
                <w:lang w:val="es-ES_tradnl"/>
              </w:rPr>
            </w:pPr>
          </w:p>
        </w:tc>
      </w:tr>
      <w:tr w:rsidR="00FC34B6" w:rsidTr="00880A7C">
        <w:tc>
          <w:tcPr>
            <w:tcW w:w="2122" w:type="dxa"/>
          </w:tcPr>
          <w:p w:rsidR="00FC34B6" w:rsidRPr="00753594" w:rsidRDefault="00FC34B6" w:rsidP="00FC34B6">
            <w:pPr>
              <w:tabs>
                <w:tab w:val="left" w:pos="2133"/>
              </w:tabs>
              <w:spacing w:line="360" w:lineRule="auto"/>
              <w:rPr>
                <w:b/>
                <w:lang w:val="es-ES_tradnl"/>
              </w:rPr>
            </w:pPr>
            <w:r w:rsidRPr="00753594">
              <w:rPr>
                <w:b/>
                <w:lang w:val="es-ES_tradnl"/>
              </w:rPr>
              <w:t>Regidor(a)</w:t>
            </w:r>
          </w:p>
        </w:tc>
        <w:tc>
          <w:tcPr>
            <w:tcW w:w="6372" w:type="dxa"/>
          </w:tcPr>
          <w:p w:rsidR="00FC34B6" w:rsidRPr="00753594" w:rsidRDefault="00FC34B6" w:rsidP="00FC34B6">
            <w:pPr>
              <w:tabs>
                <w:tab w:val="left" w:pos="2133"/>
              </w:tabs>
              <w:spacing w:line="360" w:lineRule="auto"/>
              <w:rPr>
                <w:b/>
                <w:lang w:val="es-ES_tradnl"/>
              </w:rPr>
            </w:pPr>
          </w:p>
        </w:tc>
      </w:tr>
      <w:tr w:rsidR="00FC34B6" w:rsidTr="00880A7C">
        <w:tc>
          <w:tcPr>
            <w:tcW w:w="2122" w:type="dxa"/>
          </w:tcPr>
          <w:p w:rsidR="00FC34B6" w:rsidRPr="00753594" w:rsidRDefault="00FC34B6" w:rsidP="00FC34B6">
            <w:pPr>
              <w:tabs>
                <w:tab w:val="left" w:pos="2826"/>
              </w:tabs>
              <w:spacing w:line="360" w:lineRule="auto"/>
              <w:rPr>
                <w:b/>
                <w:lang w:val="es-ES_tradnl"/>
              </w:rPr>
            </w:pPr>
            <w:r w:rsidRPr="00753594">
              <w:rPr>
                <w:b/>
                <w:lang w:val="es-ES_tradnl"/>
              </w:rPr>
              <w:t xml:space="preserve">Partido Político </w:t>
            </w:r>
            <w:r>
              <w:rPr>
                <w:b/>
                <w:lang w:val="es-ES_tradnl"/>
              </w:rPr>
              <w:t xml:space="preserve">              </w:t>
            </w:r>
          </w:p>
        </w:tc>
        <w:tc>
          <w:tcPr>
            <w:tcW w:w="6372" w:type="dxa"/>
          </w:tcPr>
          <w:p w:rsidR="00FC34B6" w:rsidRPr="00753594" w:rsidRDefault="00FC34B6" w:rsidP="00FC34B6">
            <w:pPr>
              <w:tabs>
                <w:tab w:val="left" w:pos="2826"/>
              </w:tabs>
              <w:spacing w:line="360" w:lineRule="auto"/>
              <w:rPr>
                <w:b/>
                <w:lang w:val="es-ES_tradnl"/>
              </w:rPr>
            </w:pPr>
          </w:p>
        </w:tc>
      </w:tr>
    </w:tbl>
    <w:p w:rsidR="00880A7C" w:rsidRDefault="00880A7C" w:rsidP="00880A7C">
      <w:pPr>
        <w:spacing w:after="0" w:line="240" w:lineRule="auto"/>
        <w:rPr>
          <w:b/>
          <w:lang w:val="es-ES_tradnl"/>
        </w:rPr>
      </w:pPr>
    </w:p>
    <w:p w:rsidR="0045666F" w:rsidRPr="0045666F" w:rsidRDefault="0045666F" w:rsidP="00880A7C">
      <w:pPr>
        <w:spacing w:after="0" w:line="240" w:lineRule="auto"/>
        <w:rPr>
          <w:b/>
          <w:lang w:val="es-ES_tradnl"/>
        </w:rPr>
      </w:pPr>
      <w:r w:rsidRPr="0045666F">
        <w:rPr>
          <w:b/>
          <w:lang w:val="es-ES_tradnl"/>
        </w:rPr>
        <w:t>Considerando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5666F" w:rsidTr="00F86B03">
        <w:tc>
          <w:tcPr>
            <w:tcW w:w="8644" w:type="dxa"/>
          </w:tcPr>
          <w:p w:rsidR="00C05EEB" w:rsidRDefault="0090736A" w:rsidP="00880A7C">
            <w:pPr>
              <w:jc w:val="both"/>
              <w:rPr>
                <w:lang w:val="es-ES_tradnl"/>
              </w:rPr>
            </w:pPr>
            <w:r w:rsidRPr="0090736A">
              <w:rPr>
                <w:rFonts w:cstheme="minorHAnsi"/>
              </w:rPr>
              <w:t>Que de conformidad con lo dispuesto en el artículo 169 de la Constitución Política, la administración de los intereses y servicios locales en cada cantón, estará a cargo del Gobierno Municipal, y en ese sentido LA MUNICIPALIDAD deber procurar que las necesidades de los munícipes y contribuyentes, en los di</w:t>
            </w:r>
            <w:r>
              <w:rPr>
                <w:rFonts w:cstheme="minorHAnsi"/>
              </w:rPr>
              <w:t>ferentes campos o actividades, q</w:t>
            </w:r>
            <w:r w:rsidRPr="0090736A">
              <w:rPr>
                <w:rFonts w:cstheme="minorHAnsi"/>
              </w:rPr>
              <w:t xml:space="preserve">ue </w:t>
            </w:r>
            <w:r>
              <w:rPr>
                <w:rFonts w:cstheme="minorHAnsi"/>
              </w:rPr>
              <w:t xml:space="preserve">en este caso es </w:t>
            </w:r>
            <w:r w:rsidRPr="0090736A">
              <w:rPr>
                <w:rFonts w:cstheme="minorHAnsi"/>
              </w:rPr>
              <w:t xml:space="preserve">la salud de la población </w:t>
            </w:r>
            <w:r>
              <w:rPr>
                <w:rFonts w:cstheme="minorHAnsi"/>
              </w:rPr>
              <w:t>como</w:t>
            </w:r>
            <w:r w:rsidRPr="0090736A">
              <w:rPr>
                <w:rFonts w:cstheme="minorHAnsi"/>
              </w:rPr>
              <w:t xml:space="preserve"> bien jurídico de interés público, tutelado por la Constitución Política. En este sentido, en el campo de la Salud, LA MUNICIPALIDAD debe impulsar proyectos, actividades y obras en coordinación con otros organismos públicos y privados, con la propia sociedad civil para atender los requerimientos de sus munícipes y contribuyentes en ese </w:t>
            </w:r>
            <w:r>
              <w:rPr>
                <w:rFonts w:cstheme="minorHAnsi"/>
              </w:rPr>
              <w:t xml:space="preserve">ámbito; </w:t>
            </w:r>
            <w:r w:rsidR="00BC63CC" w:rsidRPr="0090736A">
              <w:rPr>
                <w:rFonts w:cstheme="minorHAnsi"/>
              </w:rPr>
              <w:t>por tanto,</w:t>
            </w:r>
          </w:p>
        </w:tc>
      </w:tr>
    </w:tbl>
    <w:p w:rsidR="0045666F" w:rsidRDefault="0045666F" w:rsidP="00880A7C">
      <w:pPr>
        <w:spacing w:after="0" w:line="240" w:lineRule="auto"/>
        <w:rPr>
          <w:b/>
          <w:lang w:val="es-ES_tradnl"/>
        </w:rPr>
      </w:pPr>
      <w:bookmarkStart w:id="0" w:name="_GoBack"/>
      <w:bookmarkEnd w:id="0"/>
    </w:p>
    <w:p w:rsidR="0045666F" w:rsidRPr="0045666F" w:rsidRDefault="0045666F" w:rsidP="00880A7C">
      <w:pPr>
        <w:spacing w:after="0" w:line="240" w:lineRule="auto"/>
        <w:rPr>
          <w:b/>
          <w:lang w:val="es-ES_tradnl"/>
        </w:rPr>
      </w:pPr>
      <w:r w:rsidRPr="0045666F">
        <w:rPr>
          <w:b/>
          <w:lang w:val="es-ES_tradnl"/>
        </w:rPr>
        <w:t>Por tanto: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5666F" w:rsidTr="0045666F">
        <w:tc>
          <w:tcPr>
            <w:tcW w:w="8644" w:type="dxa"/>
          </w:tcPr>
          <w:p w:rsidR="00A22E39" w:rsidRPr="00A22E39" w:rsidRDefault="00A22E39" w:rsidP="00880A7C">
            <w:pPr>
              <w:jc w:val="both"/>
            </w:pPr>
            <w:r w:rsidRPr="00A22E39">
              <w:t>Se le solicita al Concejo y Administración Municipal que, de conformidad con los antecedentes, LA MUNICIPALIDAD se encuentra facultada por el inciso f) del artículo 4º del Código Municipal, para concertar con personas o entidades nacionales o extranjeras, actos, convenios o contratos necesarios para el cumplimiento de sus funciones. Así mismo la Ley Número 4478 del 3 de diciembre de mil novecientos sesenta y nueve autoriza, al Estado y las Instituciones, a donar muebles e inmuebles y otorgar subvenciones a la Cruz Roja. -</w:t>
            </w:r>
          </w:p>
          <w:p w:rsidR="00A22E39" w:rsidRPr="00A22E39" w:rsidRDefault="00A22E39" w:rsidP="00880A7C">
            <w:pPr>
              <w:jc w:val="both"/>
            </w:pPr>
            <w:r w:rsidRPr="00A22E39">
              <w:t>Que se destinarán recursos en el presupuesto ordinario para el Ejercicio Económico 2019 y 2020, que serán destinados al Comité Auxiliar Cruz Roja en el Distrito de Nosara de Nicoya, por un monto de veinte millones de colones (¢20.000.000,00 millones de colones) por cada periodo (2019 y 2020)</w:t>
            </w:r>
            <w:r w:rsidR="00880A7C">
              <w:t>, esto aprobado mediante el convenio de Cooperación Económica entre La Cruz Roja Costarricense y la Municipalidad de Nicoya.</w:t>
            </w:r>
          </w:p>
          <w:p w:rsidR="003464DB" w:rsidRDefault="009C1F40" w:rsidP="00880A7C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Q</w:t>
            </w:r>
            <w:r w:rsidR="003464DB">
              <w:rPr>
                <w:lang w:val="es-ES_tradnl"/>
              </w:rPr>
              <w:t xml:space="preserve">ue </w:t>
            </w:r>
            <w:r w:rsidR="00F20C40">
              <w:rPr>
                <w:lang w:val="es-ES_tradnl"/>
              </w:rPr>
              <w:t xml:space="preserve">se </w:t>
            </w:r>
            <w:r w:rsidR="003464DB">
              <w:rPr>
                <w:lang w:val="es-ES_tradnl"/>
              </w:rPr>
              <w:t>exime de trámite de comisión y se apruebe</w:t>
            </w:r>
            <w:r w:rsidR="00F20C40">
              <w:rPr>
                <w:lang w:val="es-ES_tradnl"/>
              </w:rPr>
              <w:t xml:space="preserve"> la solicitud supracitada, ante la administración municipal</w:t>
            </w:r>
            <w:r w:rsidR="00C05EEB">
              <w:rPr>
                <w:lang w:val="es-ES_tradnl"/>
              </w:rPr>
              <w:t xml:space="preserve">, </w:t>
            </w:r>
          </w:p>
          <w:p w:rsidR="008C695E" w:rsidRDefault="00F20C40" w:rsidP="00880A7C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APROBADO EN FIRME. </w:t>
            </w:r>
          </w:p>
        </w:tc>
      </w:tr>
    </w:tbl>
    <w:p w:rsidR="0045666F" w:rsidRPr="00753594" w:rsidRDefault="0045666F" w:rsidP="00880A7C">
      <w:pPr>
        <w:spacing w:after="0" w:line="240" w:lineRule="auto"/>
        <w:rPr>
          <w:lang w:val="es-ES_tradnl"/>
        </w:rPr>
      </w:pPr>
    </w:p>
    <w:sectPr w:rsidR="0045666F" w:rsidRPr="00753594" w:rsidSect="00387C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0253"/>
    <w:multiLevelType w:val="hybridMultilevel"/>
    <w:tmpl w:val="CC845E8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06BC5"/>
    <w:multiLevelType w:val="hybridMultilevel"/>
    <w:tmpl w:val="4F42E9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4BB9"/>
    <w:multiLevelType w:val="hybridMultilevel"/>
    <w:tmpl w:val="74D8F0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A6F00"/>
    <w:multiLevelType w:val="hybridMultilevel"/>
    <w:tmpl w:val="6122DA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12C3B"/>
    <w:multiLevelType w:val="hybridMultilevel"/>
    <w:tmpl w:val="028AA6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94"/>
    <w:rsid w:val="001236E7"/>
    <w:rsid w:val="00127CD8"/>
    <w:rsid w:val="003464DB"/>
    <w:rsid w:val="00387CBD"/>
    <w:rsid w:val="0045666F"/>
    <w:rsid w:val="00473894"/>
    <w:rsid w:val="00496EFB"/>
    <w:rsid w:val="006C38FF"/>
    <w:rsid w:val="00735233"/>
    <w:rsid w:val="00753594"/>
    <w:rsid w:val="00880A7C"/>
    <w:rsid w:val="008C695E"/>
    <w:rsid w:val="0090736A"/>
    <w:rsid w:val="009C1F40"/>
    <w:rsid w:val="00A22E39"/>
    <w:rsid w:val="00BC63CC"/>
    <w:rsid w:val="00C05EEB"/>
    <w:rsid w:val="00C74CEC"/>
    <w:rsid w:val="00E00065"/>
    <w:rsid w:val="00F20C40"/>
    <w:rsid w:val="00F7300C"/>
    <w:rsid w:val="00F86B03"/>
    <w:rsid w:val="00FC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0DAC"/>
  <w15:docId w15:val="{FDB21771-1958-479B-8007-BEF1C46E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C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3594"/>
    <w:pPr>
      <w:ind w:left="720"/>
      <w:contextualSpacing/>
    </w:pPr>
  </w:style>
  <w:style w:type="table" w:styleId="Tablaconcuadrcula">
    <w:name w:val="Table Grid"/>
    <w:basedOn w:val="Tablanormal"/>
    <w:uiPriority w:val="59"/>
    <w:rsid w:val="007535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Nicoya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Concejo</dc:creator>
  <cp:lastModifiedBy>Flor Juarez</cp:lastModifiedBy>
  <cp:revision>3</cp:revision>
  <cp:lastPrinted>2016-07-20T21:36:00Z</cp:lastPrinted>
  <dcterms:created xsi:type="dcterms:W3CDTF">2018-07-12T16:05:00Z</dcterms:created>
  <dcterms:modified xsi:type="dcterms:W3CDTF">2018-07-12T16:15:00Z</dcterms:modified>
</cp:coreProperties>
</file>